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236032">
              <w:rPr>
                <w:rFonts w:ascii="Arial" w:eastAsia="Arial" w:hAnsi="Arial" w:cs="Arial"/>
                <w:sz w:val="17"/>
              </w:rPr>
              <w:t>per seleccionar un/a oficial primera electricista.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1D5B2E"/>
    <w:rsid w:val="00236032"/>
    <w:rsid w:val="003A18A2"/>
    <w:rsid w:val="00484E16"/>
    <w:rsid w:val="004F19E0"/>
    <w:rsid w:val="00527B1F"/>
    <w:rsid w:val="00871024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AF539E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9</cp:revision>
  <cp:lastPrinted>2020-01-16T08:36:00Z</cp:lastPrinted>
  <dcterms:created xsi:type="dcterms:W3CDTF">2020-01-16T08:32:00Z</dcterms:created>
  <dcterms:modified xsi:type="dcterms:W3CDTF">2023-02-14T09:36:00Z</dcterms:modified>
</cp:coreProperties>
</file>